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numPr>
          <w:ilvl w:val="0"/>
          <w:numId w:val="0"/>
        </w:numPr>
        <w:spacing w:lineRule="auto" w:line="240" w:before="0" w:after="0"/>
        <w:jc w:val="center"/>
        <w:outlineLvl w:val="0"/>
        <w:rPr>
          <w:rFonts w:ascii="Times New Roman" w:hAnsi="Times New Roman" w:eastAsia="Times New Roman" w:cs="Times New Roman"/>
          <w:b/>
          <w:b/>
          <w:bCs/>
          <w:kern w:val="2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kern w:val="2"/>
          <w:sz w:val="28"/>
          <w:szCs w:val="28"/>
        </w:rPr>
        <w:t>Последствия получения</w:t>
      </w:r>
    </w:p>
    <w:p>
      <w:pPr>
        <w:pStyle w:val="Normal"/>
        <w:numPr>
          <w:ilvl w:val="0"/>
          <w:numId w:val="0"/>
        </w:numPr>
        <w:spacing w:lineRule="auto" w:line="240" w:before="0" w:after="0"/>
        <w:jc w:val="center"/>
        <w:outlineLvl w:val="0"/>
        <w:rPr>
          <w:rFonts w:ascii="Times New Roman" w:hAnsi="Times New Roman" w:eastAsia="Times New Roman" w:cs="Times New Roman"/>
          <w:b/>
          <w:b/>
          <w:bCs/>
          <w:kern w:val="2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kern w:val="2"/>
          <w:sz w:val="28"/>
          <w:szCs w:val="28"/>
        </w:rPr>
        <w:t>«серой» заработной платы</w:t>
      </w:r>
    </w:p>
    <w:p>
      <w:pPr>
        <w:pStyle w:val="Normal"/>
        <w:tabs>
          <w:tab w:val="clear" w:pos="708"/>
          <w:tab w:val="left" w:pos="851" w:leader="none"/>
        </w:tabs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851" w:leader="none"/>
        </w:tabs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Выплата «серой» заработной платы (в конвертах) - один из наиболее популярных способов уклонения от уплаты страховых взносов и НДФЛ. В этом случае официально работнику выплачивается только часть дохода, размер которого прописывается в трудовом договоре, а оставшаяся часть выдается в конверте, размер которой, как правило, фиксируется только на словах. При этом риски от выплаты теневой зарплаты несут как работодатель, так и работник.</w:t>
      </w:r>
    </w:p>
    <w:p>
      <w:pPr>
        <w:pStyle w:val="Normal"/>
        <w:tabs>
          <w:tab w:val="clear" w:pos="708"/>
          <w:tab w:val="left" w:pos="851" w:leader="none"/>
        </w:tabs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Работник, получающий «серую» зарплату, должен осознавать все негативные последствия, к которым это может привести. Выплата ее производится на страх и риск работника. Как правило, ни ее размер, ни порядок и сроки выплаты не закреплены никакими документами. Поэтому работодатель может прекратить выплаты в любой момент. На указанные суммы не распространяются нормы законодательства, регулирующие трудовую деятельность работника и его социальное обеспечение.</w:t>
      </w:r>
    </w:p>
    <w:p>
      <w:pPr>
        <w:pStyle w:val="Normal"/>
        <w:tabs>
          <w:tab w:val="clear" w:pos="708"/>
          <w:tab w:val="left" w:pos="851" w:leader="none"/>
        </w:tabs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В частности, могут возникнуть следующие проблемы.</w:t>
      </w:r>
    </w:p>
    <w:p>
      <w:pPr>
        <w:pStyle w:val="Normal"/>
        <w:tabs>
          <w:tab w:val="clear" w:pos="708"/>
          <w:tab w:val="left" w:pos="851" w:leader="none"/>
        </w:tabs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1. Отсутствуют гарантии, что работодатель оплатит в полном объеме отпуск или компенсацию за неиспользованный отпуск при увольнении. Сумма отпускных высчитывается исходя из размера официальной части зарплаты, которая может быть значительно меньше «серой».</w:t>
      </w:r>
    </w:p>
    <w:p>
      <w:pPr>
        <w:pStyle w:val="Normal"/>
        <w:tabs>
          <w:tab w:val="clear" w:pos="708"/>
          <w:tab w:val="left" w:pos="851" w:leader="none"/>
        </w:tabs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2. Аналогично оплате отпуска оплата листков нетрудоспособности (по временной нетрудоспособности, по беременности и родам, по уходу за ребенком) рассчитывается исходя из официального заработка.</w:t>
      </w:r>
    </w:p>
    <w:p>
      <w:pPr>
        <w:pStyle w:val="Normal"/>
        <w:tabs>
          <w:tab w:val="clear" w:pos="708"/>
          <w:tab w:val="left" w:pos="851" w:leader="none"/>
        </w:tabs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3. В случае увольнения выходное пособие будет исчислено исходя из официальной части зарплаты.</w:t>
      </w:r>
      <w:bookmarkStart w:id="0" w:name="_GoBack"/>
      <w:bookmarkEnd w:id="0"/>
    </w:p>
    <w:p>
      <w:pPr>
        <w:pStyle w:val="Normal"/>
        <w:tabs>
          <w:tab w:val="clear" w:pos="708"/>
          <w:tab w:val="left" w:pos="851" w:leader="none"/>
        </w:tabs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4. Отчисления в ПФР также производятся на основании «белой» части зарплаты. Именно из этих отчислений складывается будущая пенсия работника.</w:t>
      </w:r>
    </w:p>
    <w:p>
      <w:pPr>
        <w:pStyle w:val="Normal"/>
        <w:tabs>
          <w:tab w:val="clear" w:pos="708"/>
          <w:tab w:val="left" w:pos="851" w:leader="none"/>
        </w:tabs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5. Работник, получающий «на бумаге» небольшую заработную плату, рискует не получить кредит в банке или не оформить ипотеку, даже если «серая» часть его зарплаты гораздо больше «белой».</w:t>
      </w:r>
    </w:p>
    <w:p>
      <w:pPr>
        <w:pStyle w:val="Normal"/>
        <w:tabs>
          <w:tab w:val="clear" w:pos="708"/>
          <w:tab w:val="left" w:pos="851" w:leader="none"/>
        </w:tabs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Таким образом, скрывая от государства реальные суммы доходов, работник лишает себя же социальных гарантий и может много потерять в доходах в самых непрогнозируемых ситуациях: достойной пенсии в будущем, возможности получать в полном объеме пособия (пособие по временной нетрудоспособности, пособие по безработице, пособие по уходу за ребенком, выходные пособия при увольнении в связи с сокращением штата), в полном объеме воспользоваться предоставленным государством правом, заявить налоговые вычеты по налогу на доходы физических лиц при приобретении недвижимого имущества, получении платного образования и медицинских услуг</w:t>
      </w:r>
    </w:p>
    <w:p>
      <w:pPr>
        <w:pStyle w:val="Normal"/>
        <w:tabs>
          <w:tab w:val="clear" w:pos="708"/>
          <w:tab w:val="left" w:pos="851" w:leader="none"/>
        </w:tabs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Если работодатель отказывается выплачивать зарплату или ее часть официально, несмотря на требование работника, сотрудник вправе обратиться:</w:t>
      </w:r>
    </w:p>
    <w:p>
      <w:pPr>
        <w:pStyle w:val="Normal"/>
        <w:tabs>
          <w:tab w:val="clear" w:pos="708"/>
          <w:tab w:val="left" w:pos="851" w:leader="none"/>
        </w:tabs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- в Прокуратуру района по месту жительства работника или нахождения работодателя;</w:t>
      </w:r>
    </w:p>
    <w:p>
      <w:pPr>
        <w:pStyle w:val="Normal"/>
        <w:tabs>
          <w:tab w:val="clear" w:pos="708"/>
          <w:tab w:val="left" w:pos="851" w:leader="none"/>
        </w:tabs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- в Государственную инспекцию труда в Республике Мордовия;</w:t>
      </w:r>
    </w:p>
    <w:p>
      <w:pPr>
        <w:pStyle w:val="Normal"/>
        <w:tabs>
          <w:tab w:val="clear" w:pos="708"/>
          <w:tab w:val="left" w:pos="851" w:leader="none"/>
        </w:tabs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- в Налоговую инспекцию по месту нахождения компании или по месту жительства работника;</w:t>
      </w:r>
    </w:p>
    <w:p>
      <w:pPr>
        <w:pStyle w:val="Normal"/>
        <w:tabs>
          <w:tab w:val="clear" w:pos="708"/>
          <w:tab w:val="left" w:pos="851" w:leader="none"/>
        </w:tabs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- в суд с исковым заявлением.</w:t>
      </w:r>
    </w:p>
    <w:p>
      <w:pPr>
        <w:pStyle w:val="NormalWeb"/>
        <w:spacing w:beforeAutospacing="0" w:before="0" w:afterAutospacing="0" w:after="0"/>
        <w:ind w:left="57" w:firstLine="510"/>
        <w:jc w:val="center"/>
        <w:rPr>
          <w:b/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</w:r>
    </w:p>
    <w:p>
      <w:pPr>
        <w:pStyle w:val="NormalWeb"/>
        <w:spacing w:beforeAutospacing="0" w:before="0" w:afterAutospacing="0" w:after="0"/>
        <w:ind w:left="57" w:firstLine="510"/>
        <w:jc w:val="center"/>
        <w:rPr>
          <w:b/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</w:r>
    </w:p>
    <w:p>
      <w:pPr>
        <w:pStyle w:val="NormalWeb"/>
        <w:spacing w:beforeAutospacing="0" w:before="0" w:afterAutospacing="0" w:after="0"/>
        <w:ind w:left="57" w:firstLine="510"/>
        <w:jc w:val="center"/>
        <w:rPr>
          <w:b/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Ответственность работодателя за нарушение трудового законодательства:</w:t>
      </w:r>
    </w:p>
    <w:p>
      <w:pPr>
        <w:pStyle w:val="4"/>
        <w:spacing w:lineRule="auto" w:line="240" w:before="0" w:after="0"/>
        <w:ind w:left="57" w:firstLine="51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color w:val="000000" w:themeColor="text1"/>
          <w:sz w:val="28"/>
          <w:szCs w:val="28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 w:themeColor="text1"/>
          <w:sz w:val="28"/>
          <w:szCs w:val="28"/>
        </w:rPr>
      </w:r>
    </w:p>
    <w:p>
      <w:pPr>
        <w:pStyle w:val="4"/>
        <w:spacing w:lineRule="auto" w:line="240" w:before="0" w:after="0"/>
        <w:ind w:left="57" w:firstLine="51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color w:val="000000" w:themeColor="text1"/>
          <w:sz w:val="28"/>
          <w:szCs w:val="28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 w:themeColor="text1"/>
          <w:sz w:val="28"/>
          <w:szCs w:val="28"/>
        </w:rPr>
        <w:t xml:space="preserve">Административная ответственность по статье 5.27 </w:t>
      </w:r>
      <w:hyperlink r:id="rId2" w:tgtFrame="_blank">
        <w:r>
          <w:rPr>
            <w:rFonts w:eastAsia="Times New Roman"/>
            <w:b w:val="false"/>
            <w:bCs w:val="false"/>
            <w:i w:val="false"/>
            <w:iCs w:val="false"/>
            <w:color w:val="000000" w:themeColor="text1"/>
            <w:sz w:val="28"/>
            <w:szCs w:val="28"/>
            <w:u w:val="single"/>
          </w:rPr>
          <w:t>КоАП</w:t>
        </w:r>
      </w:hyperlink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 w:themeColor="text1"/>
          <w:sz w:val="28"/>
          <w:szCs w:val="28"/>
          <w:u w:val="single"/>
        </w:rPr>
        <w:t xml:space="preserve"> РФ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 w:themeColor="text1"/>
          <w:sz w:val="28"/>
          <w:szCs w:val="28"/>
        </w:rPr>
        <w:t>: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</w:rPr>
        <w:t>- штраф для организаций от 30 000 до 50 000 руб. (за повторное нарушение до 100 000 руб.);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- для руководителя – от 10 000 до 20 000 руб. (за повтор до 30 000 руб. или дисквалификация сроком 1–3  года);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- для ИП – от 1000 до 5000 руб. (за повтор до 30 000 руб.).</w:t>
      </w:r>
    </w:p>
    <w:p>
      <w:pPr>
        <w:pStyle w:val="NormalWeb"/>
        <w:spacing w:beforeAutospacing="0" w:before="0" w:afterAutospacing="0" w:after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По ст. 15.11 </w:t>
      </w:r>
      <w:r>
        <w:rPr>
          <w:color w:val="000000" w:themeColor="text1"/>
          <w:sz w:val="28"/>
          <w:szCs w:val="28"/>
          <w:u w:val="single"/>
        </w:rPr>
        <w:t>КоАП РФ</w:t>
      </w:r>
      <w:r>
        <w:rPr>
          <w:color w:val="000000" w:themeColor="text1"/>
          <w:sz w:val="28"/>
          <w:szCs w:val="28"/>
        </w:rPr>
        <w:t xml:space="preserve"> – за нарушение требований к учету и бухгалтерской отчетности – штраф от 5000 до 10 000 руб., за повторное нарушение – от 10 000 до 20 000 руб. или дисквалификация на срок от года до двух.</w:t>
      </w:r>
    </w:p>
    <w:p>
      <w:pPr>
        <w:pStyle w:val="NormalWeb"/>
        <w:spacing w:beforeAutospacing="0" w:before="0" w:afterAutospacing="0" w:after="0"/>
        <w:ind w:left="57" w:firstLine="51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Работодателю, выплачивающему зарплату в конверте, грозит штраф по ст. 123 </w:t>
      </w:r>
      <w:hyperlink r:id="rId3" w:tgtFrame="_blank">
        <w:r>
          <w:rPr>
            <w:color w:val="000000" w:themeColor="text1"/>
            <w:sz w:val="28"/>
            <w:szCs w:val="28"/>
          </w:rPr>
          <w:t>НК РФ</w:t>
        </w:r>
      </w:hyperlink>
      <w:r>
        <w:rPr>
          <w:color w:val="000000" w:themeColor="text1"/>
          <w:sz w:val="28"/>
          <w:szCs w:val="28"/>
        </w:rPr>
        <w:t xml:space="preserve"> в размере 20% от неудержанной суммы налога и пени за каждый день просрочки. Также он недоплачивает страховые взносы, а это штраф по ст. 122 НК РФ — до 40% от суммы недоимки и пени.</w:t>
      </w:r>
    </w:p>
    <w:p>
      <w:pPr>
        <w:pStyle w:val="NormalWeb"/>
        <w:spacing w:beforeAutospacing="0" w:before="0" w:afterAutospacing="0" w:after="0"/>
        <w:ind w:left="57" w:firstLine="510"/>
        <w:jc w:val="both"/>
        <w:rPr/>
      </w:pPr>
      <w:r>
        <w:rPr>
          <w:color w:val="000000" w:themeColor="text1"/>
          <w:sz w:val="28"/>
          <w:szCs w:val="28"/>
        </w:rPr>
        <w:t xml:space="preserve">В исключительных случаях грозит уголовное наказание по ст. 199.1 </w:t>
      </w:r>
      <w:hyperlink r:id="rId4" w:tgtFrame="_blank">
        <w:r>
          <w:rPr>
            <w:color w:val="000000" w:themeColor="text1"/>
            <w:sz w:val="28"/>
            <w:szCs w:val="28"/>
          </w:rPr>
          <w:t>УК РФ</w:t>
        </w:r>
      </w:hyperlink>
      <w:r>
        <w:rPr>
          <w:color w:val="000000" w:themeColor="text1"/>
          <w:sz w:val="28"/>
          <w:szCs w:val="28"/>
        </w:rPr>
        <w:t xml:space="preserve"> - если неуплата налогов в крупном размере. Руководителю может грозить штраф до 300 000 руб., либо арест на 6 месяцев, либо принудительные работы или лишение свободы на срок до 2-х лет с дисквалификацией на срок до 3-х лет.</w:t>
      </w:r>
    </w:p>
    <w:sectPr>
      <w:type w:val="nextPage"/>
      <w:pgSz w:w="11906" w:h="16838"/>
      <w:pgMar w:left="567" w:right="424" w:gutter="0" w:header="0" w:top="426" w:footer="0" w:bottom="426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Cambri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a4741f"/>
    <w:pPr>
      <w:widowControl/>
      <w:bidi w:val="0"/>
      <w:spacing w:lineRule="auto" w:line="276" w:before="0" w:after="200"/>
      <w:jc w:val="left"/>
    </w:pPr>
    <w:rPr>
      <w:rFonts w:eastAsia="" w:eastAsiaTheme="minorEastAsia" w:ascii="Calibri" w:hAnsi="Calibri" w:cs=""/>
      <w:color w:val="auto"/>
      <w:kern w:val="0"/>
      <w:sz w:val="22"/>
      <w:szCs w:val="22"/>
      <w:lang w:eastAsia="ru-RU" w:val="ru-RU" w:bidi="ar-SA"/>
    </w:rPr>
  </w:style>
  <w:style w:type="paragraph" w:styleId="4">
    <w:name w:val="Heading 4"/>
    <w:basedOn w:val="Normal"/>
    <w:next w:val="Normal"/>
    <w:link w:val="40"/>
    <w:uiPriority w:val="9"/>
    <w:unhideWhenUsed/>
    <w:qFormat/>
    <w:rsid w:val="00a4741f"/>
    <w:pPr>
      <w:keepNext w:val="true"/>
      <w:keepLines/>
      <w:spacing w:before="200" w:after="0"/>
      <w:outlineLvl w:val="3"/>
    </w:pPr>
    <w:rPr>
      <w:rFonts w:ascii="Cambria" w:hAnsi="Cambria" w:eastAsia="" w:cs="" w:asciiTheme="majorHAnsi" w:cstheme="majorBidi" w:eastAsiaTheme="majorEastAsia" w:hAnsiTheme="majorHAnsi"/>
      <w:b/>
      <w:bCs/>
      <w:i/>
      <w:iCs/>
      <w:color w:val="4F81BD" w:themeColor="accent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41" w:customStyle="1">
    <w:name w:val="Заголовок 4 Знак"/>
    <w:basedOn w:val="DefaultParagraphFont"/>
    <w:link w:val="4"/>
    <w:uiPriority w:val="9"/>
    <w:qFormat/>
    <w:rsid w:val="00a4741f"/>
    <w:rPr>
      <w:rFonts w:ascii="Cambria" w:hAnsi="Cambria" w:eastAsia="" w:cs="" w:asciiTheme="majorHAnsi" w:cstheme="majorBidi" w:eastAsiaTheme="majorEastAsia" w:hAnsiTheme="majorHAnsi"/>
      <w:b/>
      <w:bCs/>
      <w:i/>
      <w:iCs/>
      <w:color w:val="4F81BD" w:themeColor="accent1"/>
      <w:lang w:eastAsia="ru-RU"/>
    </w:rPr>
  </w:style>
  <w:style w:type="character" w:styleId="Style13">
    <w:name w:val="Интернет-ссылка"/>
    <w:basedOn w:val="DefaultParagraphFont"/>
    <w:uiPriority w:val="99"/>
    <w:semiHidden/>
    <w:unhideWhenUsed/>
    <w:rsid w:val="00a4741f"/>
    <w:rPr>
      <w:color w:val="0000FF"/>
      <w:u w:val="single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ucida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NormalWeb">
    <w:name w:val="Normal (Web)"/>
    <w:basedOn w:val="Normal"/>
    <w:uiPriority w:val="99"/>
    <w:unhideWhenUsed/>
    <w:qFormat/>
    <w:rsid w:val="00a4741f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nalog-nalog.ru/away2.php?req=doc&amp;base=RZR&amp;n=354563&amp;dst=100003&amp;date=19.06.2020&amp;demo=1&amp;utm_source=nalog-nalog&amp;utm_medium=site&amp;utm_content=registration&amp;utm_term=news_universal" TargetMode="External"/><Relationship Id="rId3" Type="http://schemas.openxmlformats.org/officeDocument/2006/relationships/hyperlink" Target="https://nalog-nalog.ru/away2.php?req=doc&amp;base=LAW&amp;n=357304&amp;dst=100003&amp;date=13.10.2020&amp;demo=1&amp;utm_source=nalog-nalog&amp;utm_medium=site&amp;utm_content=registration&amp;utm_term=news_universal" TargetMode="External"/><Relationship Id="rId4" Type="http://schemas.openxmlformats.org/officeDocument/2006/relationships/hyperlink" Target="https://nalog-nalog.ru/away2.php?req=doc&amp;base=LAW&amp;n=354576&amp;dst=100003&amp;date=21.06.2020&amp;demo=1&amp;utm_source=nalog-nalog&amp;utm_medium=site&amp;utm_content=registration&amp;utm_term=news_universal" TargetMode="Externa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LibreOffice/7.2.1.2$Windows_X86_64 LibreOffice_project/87b77fad49947c1441b67c559c339af8f3517e22</Application>
  <AppVersion>15.0000</AppVersion>
  <Pages>2</Pages>
  <Words>579</Words>
  <Characters>3449</Characters>
  <CharactersWithSpaces>4010</CharactersWithSpaces>
  <Paragraphs>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2021-05-07T09:25:00Z</dcterms:created>
  <dc:creator>Матянин Евгений Анатольевич</dc:creator>
  <dc:description/>
  <dc:language>ru-RU</dc:language>
  <cp:lastModifiedBy>Матянин Евгений Анатольевич</cp:lastModifiedBy>
  <cp:lastPrinted>2021-05-07T09:24:00Z</cp:lastPrinted>
  <dcterms:modified xsi:type="dcterms:W3CDTF">2021-05-07T09:25:00Z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